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b/>
          <w:bCs/>
          <w:sz w:val="24"/>
        </w:rPr>
      </w:pPr>
      <w:bookmarkStart w:id="0" w:name="OLE_LINK37"/>
      <w:bookmarkStart w:id="1" w:name="_Toc10669"/>
      <w:r>
        <w:rPr>
          <w:rFonts w:hint="eastAsia"/>
          <w:b/>
          <w:bCs/>
          <w:sz w:val="28"/>
          <w:szCs w:val="28"/>
        </w:rPr>
        <w:t>附件</w:t>
      </w:r>
      <w:r>
        <w:rPr>
          <w:b/>
          <w:bCs/>
          <w:sz w:val="28"/>
          <w:szCs w:val="28"/>
        </w:rPr>
        <w:t>1</w:t>
      </w:r>
      <w:bookmarkEnd w:id="0"/>
      <w:r>
        <w:rPr>
          <w:b/>
          <w:bCs/>
          <w:sz w:val="28"/>
          <w:szCs w:val="28"/>
        </w:rPr>
        <w:t xml:space="preserve">             </w:t>
      </w:r>
      <w:r>
        <w:rPr>
          <w:rFonts w:hint="eastAsia"/>
          <w:b/>
          <w:bCs/>
          <w:sz w:val="24"/>
        </w:rPr>
        <w:t>展览会主办安全责任书</w:t>
      </w:r>
      <w:bookmarkEnd w:id="1"/>
    </w:p>
    <w:p>
      <w:pPr>
        <w:jc w:val="center"/>
        <w:outlineLvl w:val="0"/>
        <w:rPr>
          <w:b/>
          <w:bCs/>
          <w:sz w:val="24"/>
        </w:rPr>
      </w:pPr>
    </w:p>
    <w:p>
      <w:pPr>
        <w:spacing w:line="440" w:lineRule="exact"/>
        <w:ind w:firstLine="482" w:firstLineChars="200"/>
        <w:rPr>
          <w:rFonts w:ascii="宋体" w:cs="宋体"/>
          <w:b/>
          <w:sz w:val="24"/>
        </w:rPr>
      </w:pPr>
      <w:r>
        <w:rPr>
          <w:rFonts w:hint="eastAsia" w:ascii="宋体" w:hAnsi="宋体" w:cs="宋体"/>
          <w:b/>
          <w:bCs/>
          <w:sz w:val="24"/>
        </w:rPr>
        <w:t>为</w:t>
      </w:r>
      <w:r>
        <w:rPr>
          <w:rFonts w:hint="eastAsia" w:ascii="宋体" w:hAnsi="宋体" w:cs="宋体"/>
          <w:b/>
          <w:sz w:val="24"/>
        </w:rPr>
        <w:t>认真贯彻和落实《大型群众性活动安全管理条例》（国务院</w:t>
      </w:r>
      <w:r>
        <w:rPr>
          <w:rFonts w:ascii="宋体" w:hAnsi="宋体" w:cs="宋体"/>
          <w:b/>
          <w:sz w:val="24"/>
        </w:rPr>
        <w:t>505</w:t>
      </w:r>
      <w:r>
        <w:rPr>
          <w:rFonts w:hint="eastAsia" w:ascii="宋体" w:hAnsi="宋体" w:cs="宋体"/>
          <w:b/>
          <w:sz w:val="24"/>
        </w:rPr>
        <w:t>号令）及《消防法》、《安全生产法》，按照“安全第一、预防为主、综合治理”的方针，以更严密的管理、更科学的方法、更有力的措施，切实抓好安全预防工作。</w:t>
      </w:r>
    </w:p>
    <w:p>
      <w:pPr>
        <w:spacing w:line="440" w:lineRule="exact"/>
        <w:ind w:firstLine="482" w:firstLineChars="200"/>
        <w:rPr>
          <w:rFonts w:ascii="宋体" w:cs="宋体"/>
          <w:b/>
          <w:bCs/>
          <w:sz w:val="24"/>
        </w:rPr>
      </w:pPr>
      <w:r>
        <w:rPr>
          <w:rFonts w:hint="eastAsia" w:ascii="宋体" w:hAnsi="宋体" w:cs="宋体"/>
          <w:b/>
          <w:bCs/>
          <w:sz w:val="24"/>
        </w:rPr>
        <w:t>本着安全第一，预防为主，防止安全事故的发生，保障生命安全、财产安全，创造良好和有序的安全生产环境，促进展会顺利进行，特制定此责任书。</w:t>
      </w:r>
    </w:p>
    <w:p>
      <w:pPr>
        <w:tabs>
          <w:tab w:val="left" w:pos="1980"/>
        </w:tabs>
        <w:ind w:firstLine="480" w:firstLineChars="200"/>
        <w:rPr>
          <w:b/>
          <w:sz w:val="28"/>
          <w:szCs w:val="28"/>
        </w:rPr>
      </w:pPr>
      <w:r>
        <w:rPr>
          <w:rFonts w:hint="eastAsia" w:ascii="宋体" w:hAnsi="宋体"/>
          <w:sz w:val="24"/>
        </w:rPr>
        <w:t>展览会名称：</w:t>
      </w:r>
      <w:r>
        <w:rPr>
          <w:rFonts w:ascii="仿宋" w:hAnsi="仿宋" w:eastAsia="仿宋"/>
          <w:b/>
          <w:bCs/>
          <w:sz w:val="28"/>
          <w:szCs w:val="28"/>
          <w:u w:val="single"/>
        </w:rPr>
        <w:t xml:space="preserve">                                                            </w:t>
      </w:r>
    </w:p>
    <w:p>
      <w:pPr>
        <w:ind w:firstLine="480" w:firstLineChars="200"/>
        <w:rPr>
          <w:rFonts w:ascii="宋体"/>
          <w:sz w:val="24"/>
        </w:rPr>
      </w:pPr>
      <w:r>
        <w:rPr>
          <w:rFonts w:hint="eastAsia" w:ascii="宋体" w:hAnsi="宋体"/>
          <w:sz w:val="24"/>
        </w:rPr>
        <w:t>布展日期：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ind w:firstLine="480" w:firstLineChars="200"/>
        <w:rPr>
          <w:rFonts w:ascii="宋体"/>
          <w:sz w:val="24"/>
        </w:rPr>
      </w:pPr>
      <w:r>
        <w:rPr>
          <w:rFonts w:hint="eastAsia" w:ascii="宋体" w:hAnsi="宋体"/>
          <w:sz w:val="24"/>
        </w:rPr>
        <w:t>展出日期：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ind w:firstLine="480" w:firstLineChars="200"/>
        <w:rPr>
          <w:rFonts w:ascii="宋体"/>
          <w:sz w:val="24"/>
        </w:rPr>
      </w:pPr>
      <w:r>
        <w:rPr>
          <w:rFonts w:hint="eastAsia" w:ascii="宋体" w:hAnsi="宋体"/>
          <w:sz w:val="24"/>
        </w:rPr>
        <w:t>撤展日期：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widowControl/>
        <w:spacing w:before="150"/>
        <w:rPr>
          <w:sz w:val="24"/>
          <w:u w:val="single"/>
        </w:rPr>
      </w:pPr>
      <w:r>
        <w:rPr>
          <w:sz w:val="24"/>
        </w:rPr>
        <w:t xml:space="preserve">    </w:t>
      </w:r>
      <w:r>
        <w:rPr>
          <w:rFonts w:hint="eastAsia"/>
          <w:sz w:val="24"/>
        </w:rPr>
        <w:t>展览会主办单位名称：</w:t>
      </w:r>
      <w:r>
        <w:rPr>
          <w:rFonts w:ascii="仿宋" w:hAnsi="仿宋" w:eastAsia="仿宋" w:cs="Times New Roman"/>
          <w:kern w:val="2"/>
          <w:sz w:val="28"/>
          <w:szCs w:val="28"/>
          <w:u w:val="single"/>
        </w:rPr>
        <w:t xml:space="preserve">                           </w:t>
      </w:r>
    </w:p>
    <w:p>
      <w:pPr>
        <w:ind w:firstLine="480" w:firstLineChars="200"/>
        <w:rPr>
          <w:rFonts w:ascii="宋体"/>
          <w:sz w:val="24"/>
          <w:u w:val="single"/>
        </w:rPr>
      </w:pPr>
      <w:r>
        <w:rPr>
          <w:rFonts w:hint="eastAsia"/>
          <w:sz w:val="24"/>
        </w:rPr>
        <w:t>展览会</w:t>
      </w:r>
      <w:r>
        <w:rPr>
          <w:rFonts w:hint="eastAsia" w:ascii="宋体" w:hAnsi="宋体"/>
          <w:sz w:val="24"/>
        </w:rPr>
        <w:t>主办单位主要负责人：</w:t>
      </w:r>
      <w:r>
        <w:rPr>
          <w:rFonts w:ascii="宋体" w:hAnsi="宋体"/>
          <w:sz w:val="24"/>
          <w:u w:val="single"/>
        </w:rPr>
        <w:t xml:space="preserve">         </w:t>
      </w:r>
      <w:r>
        <w:rPr>
          <w:rFonts w:ascii="宋体" w:hAnsi="宋体"/>
          <w:sz w:val="24"/>
        </w:rPr>
        <w:t xml:space="preserve"> </w:t>
      </w:r>
      <w:r>
        <w:rPr>
          <w:rFonts w:hint="eastAsia" w:ascii="宋体" w:hAnsi="宋体"/>
          <w:sz w:val="24"/>
        </w:rPr>
        <w:t>联系方式：</w:t>
      </w:r>
      <w:r>
        <w:rPr>
          <w:rFonts w:ascii="宋体" w:hAnsi="宋体"/>
          <w:sz w:val="24"/>
        </w:rPr>
        <w:t xml:space="preserve">  </w:t>
      </w:r>
      <w:r>
        <w:rPr>
          <w:rFonts w:ascii="宋体" w:hAnsi="宋体"/>
          <w:sz w:val="24"/>
          <w:u w:val="single"/>
        </w:rPr>
        <w:t xml:space="preserve">                      </w:t>
      </w:r>
    </w:p>
    <w:p>
      <w:pPr>
        <w:ind w:firstLine="480" w:firstLineChars="200"/>
        <w:rPr>
          <w:rFonts w:ascii="宋体"/>
          <w:sz w:val="24"/>
        </w:rPr>
      </w:pPr>
      <w:r>
        <w:rPr>
          <w:rFonts w:hint="eastAsia" w:ascii="宋体" w:hAnsi="宋体"/>
          <w:sz w:val="24"/>
        </w:rPr>
        <w:t>使用展馆：</w:t>
      </w:r>
      <w:r>
        <w:rPr>
          <w:rFonts w:ascii="宋体" w:hAnsi="宋体"/>
          <w:sz w:val="24"/>
          <w:u w:val="single"/>
        </w:rPr>
        <w:t xml:space="preserve">           </w:t>
      </w:r>
      <w:r>
        <w:rPr>
          <w:rFonts w:hint="eastAsia" w:ascii="宋体" w:hAnsi="宋体"/>
          <w:sz w:val="24"/>
        </w:rPr>
        <w:t>展览会面积为：</w:t>
      </w:r>
      <w:r>
        <w:rPr>
          <w:rFonts w:ascii="宋体" w:hAnsi="宋体"/>
          <w:sz w:val="24"/>
          <w:u w:val="single"/>
        </w:rPr>
        <w:t xml:space="preserve">          </w:t>
      </w:r>
      <w:r>
        <w:rPr>
          <w:rFonts w:hint="eastAsia" w:ascii="宋体" w:hAnsi="宋体"/>
          <w:sz w:val="24"/>
        </w:rPr>
        <w:t>㎡</w:t>
      </w:r>
    </w:p>
    <w:p>
      <w:pPr>
        <w:ind w:firstLine="480" w:firstLineChars="200"/>
        <w:rPr>
          <w:rFonts w:ascii="宋体"/>
          <w:sz w:val="24"/>
        </w:rPr>
      </w:pPr>
    </w:p>
    <w:p>
      <w:pPr>
        <w:spacing w:line="360" w:lineRule="auto"/>
        <w:ind w:left="-2"/>
        <w:rPr>
          <w:rFonts w:ascii="宋体"/>
          <w:b/>
          <w:bCs/>
          <w:sz w:val="24"/>
        </w:rPr>
      </w:pPr>
      <w:r>
        <w:rPr>
          <w:rFonts w:hint="eastAsia" w:ascii="宋体" w:hAnsi="宋体"/>
          <w:b/>
          <w:bCs/>
          <w:sz w:val="24"/>
        </w:rPr>
        <w:t>主办单位应承担的责任和义务：</w:t>
      </w:r>
    </w:p>
    <w:p>
      <w:pPr>
        <w:numPr>
          <w:ilvl w:val="0"/>
          <w:numId w:val="1"/>
        </w:numPr>
        <w:tabs>
          <w:tab w:val="left" w:pos="720"/>
        </w:tabs>
        <w:spacing w:line="420" w:lineRule="exact"/>
        <w:ind w:left="720" w:hanging="722"/>
        <w:rPr>
          <w:rFonts w:ascii="宋体"/>
          <w:sz w:val="24"/>
        </w:rPr>
      </w:pPr>
      <w:r>
        <w:rPr>
          <w:rFonts w:hint="eastAsia"/>
          <w:sz w:val="24"/>
        </w:rPr>
        <w:t>展览会</w:t>
      </w:r>
      <w:r>
        <w:rPr>
          <w:rFonts w:hint="eastAsia" w:ascii="宋体" w:hAnsi="宋体"/>
          <w:sz w:val="24"/>
        </w:rPr>
        <w:t>主办单位应指派专人负责场馆内施工、消防安全工作，按照“谁主管、谁负责、谁举办、谁负责</w:t>
      </w:r>
      <w:r>
        <w:rPr>
          <w:rFonts w:hint="eastAsia" w:ascii="宋体"/>
          <w:sz w:val="24"/>
        </w:rPr>
        <w:t>”</w:t>
      </w:r>
      <w:r>
        <w:rPr>
          <w:rFonts w:hint="eastAsia" w:ascii="宋体" w:hAnsi="宋体"/>
          <w:sz w:val="24"/>
        </w:rPr>
        <w:t>的原则，认真做好展览期间各项施工、消防安全工作，确保安全。</w:t>
      </w:r>
    </w:p>
    <w:p>
      <w:pPr>
        <w:numPr>
          <w:ilvl w:val="0"/>
          <w:numId w:val="1"/>
        </w:numPr>
        <w:tabs>
          <w:tab w:val="left" w:pos="720"/>
        </w:tabs>
        <w:spacing w:line="420" w:lineRule="exact"/>
        <w:ind w:left="720" w:hanging="722"/>
        <w:rPr>
          <w:rFonts w:ascii="宋体"/>
          <w:sz w:val="24"/>
        </w:rPr>
      </w:pPr>
      <w:r>
        <w:rPr>
          <w:rFonts w:hint="eastAsia"/>
          <w:sz w:val="24"/>
        </w:rPr>
        <w:t>展览会</w:t>
      </w:r>
      <w:r>
        <w:rPr>
          <w:rFonts w:hint="eastAsia" w:ascii="宋体" w:hAnsi="宋体"/>
          <w:sz w:val="24"/>
        </w:rPr>
        <w:t>主办单位应严格、认真执行《中华人民共和国消防法》《大型群众性活动安全管理条例、国务院</w:t>
      </w:r>
      <w:r>
        <w:rPr>
          <w:rFonts w:ascii="宋体" w:hAnsi="宋体"/>
          <w:sz w:val="24"/>
        </w:rPr>
        <w:t>505</w:t>
      </w:r>
      <w:r>
        <w:rPr>
          <w:rFonts w:hint="eastAsia" w:ascii="宋体" w:hAnsi="宋体"/>
          <w:sz w:val="24"/>
        </w:rPr>
        <w:t>号令》《安全生产法》等有关消防、安全工作规定，落实各项防火、安全责任和措施，明确防火、安全负责人，并认真履行职责。</w:t>
      </w:r>
    </w:p>
    <w:p>
      <w:pPr>
        <w:numPr>
          <w:ilvl w:val="0"/>
          <w:numId w:val="1"/>
        </w:numPr>
        <w:tabs>
          <w:tab w:val="left" w:pos="720"/>
        </w:tabs>
        <w:spacing w:line="420" w:lineRule="exact"/>
        <w:ind w:left="720" w:hanging="720"/>
        <w:rPr>
          <w:rFonts w:ascii="宋体"/>
          <w:sz w:val="24"/>
        </w:rPr>
      </w:pPr>
      <w:r>
        <w:rPr>
          <w:rFonts w:hint="eastAsia"/>
          <w:sz w:val="24"/>
        </w:rPr>
        <w:t>展览会</w:t>
      </w:r>
      <w:r>
        <w:rPr>
          <w:rFonts w:hint="eastAsia" w:ascii="宋体" w:hAnsi="宋体"/>
          <w:sz w:val="24"/>
        </w:rPr>
        <w:t>主办单位应按照南京国际博览中心</w:t>
      </w:r>
      <w:r>
        <w:rPr>
          <w:rFonts w:hint="eastAsia" w:ascii="宋体" w:hAnsi="宋体"/>
          <w:color w:val="000000"/>
          <w:sz w:val="24"/>
        </w:rPr>
        <w:t>《展馆使用规则》、《布展安全管理规定》、《特装展台施工安全责任书》、《</w:t>
      </w:r>
      <w:r>
        <w:rPr>
          <w:rFonts w:hint="eastAsia"/>
          <w:sz w:val="24"/>
        </w:rPr>
        <w:t>展馆防火规定</w:t>
      </w:r>
      <w:r>
        <w:rPr>
          <w:rFonts w:hint="eastAsia" w:ascii="宋体" w:hAnsi="宋体"/>
          <w:color w:val="000000"/>
          <w:sz w:val="24"/>
        </w:rPr>
        <w:t>》</w:t>
      </w:r>
      <w:r>
        <w:rPr>
          <w:rFonts w:hint="eastAsia" w:ascii="宋体" w:hAnsi="宋体"/>
          <w:sz w:val="24"/>
        </w:rPr>
        <w:t>，严格审核各展台进馆手续，并负有直接对各参展单位进行施工、消防安全宣传、教育和施工、消防安全监督检查，督促整改施工安全及火灾隐患的责任。</w:t>
      </w:r>
    </w:p>
    <w:p>
      <w:pPr>
        <w:numPr>
          <w:ilvl w:val="0"/>
          <w:numId w:val="1"/>
        </w:numPr>
        <w:tabs>
          <w:tab w:val="left" w:pos="720"/>
        </w:tabs>
        <w:spacing w:line="420" w:lineRule="exact"/>
        <w:ind w:left="720" w:hanging="722"/>
        <w:rPr>
          <w:rFonts w:ascii="宋体"/>
          <w:sz w:val="24"/>
        </w:rPr>
      </w:pPr>
      <w:r>
        <w:rPr>
          <w:rFonts w:hint="eastAsia"/>
          <w:sz w:val="24"/>
        </w:rPr>
        <w:t>展览会</w:t>
      </w:r>
      <w:r>
        <w:rPr>
          <w:rFonts w:hint="eastAsia" w:ascii="宋体" w:hAnsi="宋体"/>
          <w:sz w:val="24"/>
        </w:rPr>
        <w:t>主办单位负责审核参展单位装饰方案、图纸、材料等。参展单位在装饰前必须将展位装饰方案、图纸、使用材料报主办搭建方审查，审查中必须严格把关。审查合格后与参展单位签订消防、施工安全责任书。方可为参展单位办理入场布展手续。</w:t>
      </w:r>
    </w:p>
    <w:p>
      <w:pPr>
        <w:numPr>
          <w:ilvl w:val="0"/>
          <w:numId w:val="1"/>
        </w:numPr>
        <w:tabs>
          <w:tab w:val="left" w:pos="720"/>
        </w:tabs>
        <w:spacing w:line="420" w:lineRule="exact"/>
        <w:ind w:left="720" w:hanging="720"/>
        <w:rPr>
          <w:rFonts w:ascii="宋体"/>
          <w:sz w:val="24"/>
        </w:rPr>
      </w:pPr>
      <w:r>
        <w:rPr>
          <w:rFonts w:hint="eastAsia"/>
          <w:sz w:val="24"/>
        </w:rPr>
        <w:t>展览会</w:t>
      </w:r>
      <w:r>
        <w:rPr>
          <w:rFonts w:hint="eastAsia" w:ascii="宋体" w:hAnsi="宋体"/>
          <w:sz w:val="24"/>
        </w:rPr>
        <w:t>主办单位</w:t>
      </w:r>
      <w:r>
        <w:rPr>
          <w:rFonts w:hint="eastAsia" w:ascii="宋体" w:hAnsi="宋体"/>
          <w:color w:val="000000"/>
          <w:sz w:val="24"/>
        </w:rPr>
        <w:t>负责监督和保障各展台承揽施工单位搭建</w:t>
      </w:r>
      <w:r>
        <w:rPr>
          <w:rFonts w:hint="eastAsia" w:ascii="宋体" w:hAnsi="宋体"/>
          <w:bCs/>
          <w:color w:val="000000"/>
          <w:sz w:val="24"/>
        </w:rPr>
        <w:t>展台</w:t>
      </w:r>
      <w:r>
        <w:rPr>
          <w:rFonts w:hint="eastAsia" w:ascii="宋体" w:hAnsi="宋体"/>
          <w:color w:val="000000"/>
          <w:sz w:val="24"/>
        </w:rPr>
        <w:t>的结构必须牢固、安全，施工、展览和撤展期间出现展台倒塌、工伤和伤及他人、给场馆建筑物造成损坏以及其它安全事故责任由</w:t>
      </w:r>
      <w:r>
        <w:rPr>
          <w:rFonts w:hint="eastAsia" w:ascii="宋体" w:hAnsi="宋体"/>
          <w:bCs/>
          <w:color w:val="000000"/>
          <w:sz w:val="24"/>
        </w:rPr>
        <w:t>展览会主办单位</w:t>
      </w:r>
      <w:r>
        <w:rPr>
          <w:rFonts w:hint="eastAsia" w:ascii="宋体" w:hAnsi="宋体"/>
          <w:color w:val="000000"/>
          <w:sz w:val="24"/>
        </w:rPr>
        <w:t>负全部责任。施工现场的施工安全、展位用电安全和防火工作由</w:t>
      </w:r>
      <w:r>
        <w:rPr>
          <w:rFonts w:hint="eastAsia" w:ascii="宋体" w:hAnsi="宋体"/>
          <w:bCs/>
          <w:color w:val="000000"/>
          <w:sz w:val="24"/>
        </w:rPr>
        <w:t>展览会主办单位</w:t>
      </w:r>
      <w:r>
        <w:rPr>
          <w:rFonts w:hint="eastAsia" w:ascii="宋体" w:hAnsi="宋体"/>
          <w:color w:val="000000"/>
          <w:sz w:val="24"/>
        </w:rPr>
        <w:t>负责，</w:t>
      </w:r>
      <w:r>
        <w:rPr>
          <w:rFonts w:hint="eastAsia" w:ascii="宋体" w:hAnsi="宋体"/>
          <w:bCs/>
          <w:color w:val="000000"/>
          <w:sz w:val="24"/>
        </w:rPr>
        <w:t>展览会主办单位</w:t>
      </w:r>
      <w:r>
        <w:rPr>
          <w:rFonts w:hint="eastAsia" w:ascii="宋体" w:hAnsi="宋体"/>
          <w:color w:val="000000"/>
          <w:sz w:val="24"/>
        </w:rPr>
        <w:t>必须指派专职安全管理员负责展会施工现场的安全和防火工作。严格杜绝任何人、任何时间在场馆展厅内吸烟。</w:t>
      </w:r>
    </w:p>
    <w:p>
      <w:pPr>
        <w:numPr>
          <w:ilvl w:val="0"/>
          <w:numId w:val="1"/>
        </w:numPr>
        <w:tabs>
          <w:tab w:val="left" w:pos="720"/>
        </w:tabs>
        <w:spacing w:line="420" w:lineRule="exact"/>
        <w:ind w:left="720" w:hanging="720"/>
        <w:rPr>
          <w:rFonts w:ascii="宋体"/>
          <w:sz w:val="24"/>
        </w:rPr>
      </w:pPr>
      <w:r>
        <w:rPr>
          <w:rFonts w:hint="eastAsia"/>
          <w:sz w:val="24"/>
        </w:rPr>
        <w:t>展览会</w:t>
      </w:r>
      <w:r>
        <w:rPr>
          <w:rFonts w:hint="eastAsia" w:ascii="宋体" w:hAnsi="宋体"/>
          <w:sz w:val="24"/>
        </w:rPr>
        <w:t>主办单位</w:t>
      </w:r>
      <w:r>
        <w:rPr>
          <w:rFonts w:hint="eastAsia" w:ascii="宋体" w:hAnsi="宋体"/>
          <w:color w:val="000000"/>
          <w:sz w:val="24"/>
        </w:rPr>
        <w:t>负责监督严禁各承揽施工单位及参展单位在展馆墙体、柱体及各种专用管线或建筑物上钉钉、捆绑等损坏建筑物的行为，所有展台结构应和展台自身主体结构连接并应严格按照展馆限高搭建展台（最高不得超过</w:t>
      </w:r>
      <w:r>
        <w:rPr>
          <w:rFonts w:ascii="宋体" w:hAnsi="宋体"/>
          <w:color w:val="000000"/>
          <w:sz w:val="24"/>
        </w:rPr>
        <w:t>6</w:t>
      </w:r>
      <w:r>
        <w:rPr>
          <w:rFonts w:hint="eastAsia" w:ascii="宋体" w:hAnsi="宋体"/>
          <w:color w:val="000000"/>
          <w:sz w:val="24"/>
        </w:rPr>
        <w:t>米）。</w:t>
      </w:r>
    </w:p>
    <w:p>
      <w:pPr>
        <w:numPr>
          <w:ilvl w:val="0"/>
          <w:numId w:val="1"/>
        </w:numPr>
        <w:tabs>
          <w:tab w:val="left" w:pos="720"/>
        </w:tabs>
        <w:spacing w:line="420" w:lineRule="exact"/>
        <w:ind w:left="720" w:hanging="722"/>
        <w:rPr>
          <w:rFonts w:ascii="宋体"/>
          <w:sz w:val="24"/>
        </w:rPr>
      </w:pPr>
      <w:r>
        <w:rPr>
          <w:rFonts w:hint="eastAsia"/>
          <w:sz w:val="24"/>
        </w:rPr>
        <w:t>展览会</w:t>
      </w:r>
      <w:r>
        <w:rPr>
          <w:rFonts w:hint="eastAsia" w:ascii="宋体" w:hAnsi="宋体"/>
          <w:sz w:val="24"/>
        </w:rPr>
        <w:t>主办单位在设计规划展出场地（场馆）时，必须做到不得圈占、埋压、遮挡场馆消防设施设备和防火卷帘门。</w:t>
      </w:r>
    </w:p>
    <w:p>
      <w:pPr>
        <w:numPr>
          <w:ilvl w:val="0"/>
          <w:numId w:val="1"/>
        </w:numPr>
        <w:tabs>
          <w:tab w:val="left" w:pos="720"/>
        </w:tabs>
        <w:spacing w:line="420" w:lineRule="exact"/>
        <w:ind w:left="720" w:hanging="722"/>
        <w:rPr>
          <w:rFonts w:ascii="宋体"/>
          <w:sz w:val="24"/>
        </w:rPr>
      </w:pPr>
      <w:r>
        <w:rPr>
          <w:rFonts w:hint="eastAsia"/>
          <w:sz w:val="24"/>
        </w:rPr>
        <w:t>展览会</w:t>
      </w:r>
      <w:r>
        <w:rPr>
          <w:rFonts w:hint="eastAsia" w:ascii="宋体" w:hAnsi="宋体"/>
          <w:bCs/>
          <w:color w:val="000000"/>
          <w:sz w:val="24"/>
        </w:rPr>
        <w:t>主办单位</w:t>
      </w:r>
      <w:r>
        <w:rPr>
          <w:rFonts w:hint="eastAsia" w:ascii="宋体" w:hAnsi="宋体"/>
          <w:color w:val="000000"/>
          <w:sz w:val="24"/>
        </w:rPr>
        <w:t>负责监督和保障展馆内严禁明火作业</w:t>
      </w:r>
      <w:r>
        <w:rPr>
          <w:rFonts w:hint="eastAsia" w:ascii="宋体" w:hAnsi="宋体"/>
          <w:sz w:val="24"/>
        </w:rPr>
        <w:t>，如确因需要使用氧焊、电焊在场馆内作业的，装修单位必须报经场馆审查。并办理动火证，配备消防器材，落实现场监护人及防护措施后方可动火作业。</w:t>
      </w:r>
    </w:p>
    <w:p>
      <w:pPr>
        <w:numPr>
          <w:ilvl w:val="0"/>
          <w:numId w:val="1"/>
        </w:numPr>
        <w:tabs>
          <w:tab w:val="left" w:pos="720"/>
        </w:tabs>
        <w:spacing w:line="420" w:lineRule="exact"/>
        <w:ind w:left="720" w:hanging="722"/>
        <w:rPr>
          <w:rFonts w:ascii="宋体"/>
          <w:sz w:val="24"/>
        </w:rPr>
      </w:pPr>
      <w:r>
        <w:rPr>
          <w:rFonts w:hint="eastAsia" w:ascii="宋体" w:hAnsi="宋体"/>
          <w:sz w:val="24"/>
        </w:rPr>
        <w:t>展览会主办单位必须自觉接受和配合公安消防机构和甲方安全职能部门的对参展单位检查工作，对提出的不安全因素和火灾隐患，必须立即整改，消除火灾隐患，确保消防安全。</w:t>
      </w:r>
    </w:p>
    <w:p>
      <w:pPr>
        <w:numPr>
          <w:ilvl w:val="0"/>
          <w:numId w:val="1"/>
        </w:numPr>
        <w:tabs>
          <w:tab w:val="left" w:pos="720"/>
        </w:tabs>
        <w:spacing w:line="420" w:lineRule="exact"/>
        <w:ind w:left="720" w:hanging="722"/>
        <w:rPr>
          <w:sz w:val="24"/>
        </w:rPr>
      </w:pPr>
      <w:r>
        <w:rPr>
          <w:rFonts w:hint="eastAsia" w:ascii="宋体" w:hAnsi="宋体"/>
          <w:sz w:val="24"/>
        </w:rPr>
        <w:t>如因任何参展单位存在火灾隐患，责令其整改而未整改，公安消防机构将对</w:t>
      </w:r>
      <w:r>
        <w:rPr>
          <w:rFonts w:hint="eastAsia"/>
          <w:sz w:val="24"/>
        </w:rPr>
        <w:t>展览会</w:t>
      </w:r>
      <w:r>
        <w:rPr>
          <w:rFonts w:hint="eastAsia" w:ascii="宋体" w:hAnsi="宋体"/>
          <w:sz w:val="24"/>
        </w:rPr>
        <w:t>主办单位和参展单位进行处罚，由此发生火灾事故，由公安消防机构依法追究其法律责任。</w:t>
      </w:r>
    </w:p>
    <w:p>
      <w:pPr>
        <w:tabs>
          <w:tab w:val="left" w:pos="720"/>
        </w:tabs>
        <w:spacing w:line="420" w:lineRule="exact"/>
        <w:ind w:left="-2"/>
        <w:rPr>
          <w:sz w:val="24"/>
        </w:rPr>
      </w:pPr>
    </w:p>
    <w:p>
      <w:pPr>
        <w:pStyle w:val="2"/>
        <w:spacing w:line="420" w:lineRule="exact"/>
        <w:ind w:firstLine="482"/>
        <w:rPr>
          <w:color w:val="000000"/>
          <w:sz w:val="24"/>
        </w:rPr>
      </w:pPr>
      <w:r>
        <w:rPr>
          <w:rFonts w:hint="eastAsia"/>
          <w:sz w:val="24"/>
        </w:rPr>
        <w:t>展览会主办</w:t>
      </w:r>
      <w:r>
        <w:rPr>
          <w:rFonts w:hint="eastAsia"/>
          <w:bCs/>
          <w:sz w:val="24"/>
        </w:rPr>
        <w:t>单位</w:t>
      </w:r>
      <w:r>
        <w:rPr>
          <w:rFonts w:hint="eastAsia"/>
          <w:sz w:val="24"/>
        </w:rPr>
        <w:t>必须与此展览会展台搭建施工单位签订《特装展位施工安全责任书》，应将复印件提交南京国际博览中心备案！由于</w:t>
      </w:r>
      <w:r>
        <w:rPr>
          <w:rFonts w:hint="eastAsia"/>
          <w:bCs/>
          <w:sz w:val="24"/>
        </w:rPr>
        <w:t>展览会主办单位</w:t>
      </w:r>
      <w:r>
        <w:rPr>
          <w:rFonts w:hint="eastAsia"/>
          <w:sz w:val="24"/>
        </w:rPr>
        <w:t>在展会中的监督、检查、管理、执行的力度不够或上述细则未能切实落实而造成任何安全事故和损失，由展览会主办单位及参展单位承担，并承担由此给组委会及场馆造成的所有经济损失。</w:t>
      </w:r>
    </w:p>
    <w:p>
      <w:pPr>
        <w:spacing w:line="420" w:lineRule="exact"/>
        <w:ind w:left="359" w:leftChars="171" w:firstLine="361" w:firstLineChars="150"/>
        <w:rPr>
          <w:rFonts w:ascii="宋体"/>
          <w:b/>
          <w:color w:val="000000"/>
          <w:sz w:val="24"/>
        </w:rPr>
      </w:pPr>
      <w:r>
        <w:rPr>
          <w:rFonts w:hint="eastAsia"/>
          <w:b/>
          <w:sz w:val="24"/>
        </w:rPr>
        <w:t>展览会</w:t>
      </w:r>
      <w:r>
        <w:rPr>
          <w:rFonts w:hint="eastAsia" w:ascii="宋体" w:hAnsi="宋体"/>
          <w:b/>
          <w:color w:val="000000"/>
          <w:sz w:val="24"/>
        </w:rPr>
        <w:t>主办单位在签订此责任书前，须出示营业执照复印件以及与承办单位签订的承办合同书复印件。</w:t>
      </w:r>
    </w:p>
    <w:p>
      <w:pPr>
        <w:spacing w:line="360" w:lineRule="auto"/>
        <w:ind w:left="359" w:leftChars="171" w:firstLine="229" w:firstLineChars="95"/>
        <w:rPr>
          <w:rFonts w:ascii="宋体"/>
          <w:b/>
          <w:bCs/>
          <w:sz w:val="24"/>
        </w:rPr>
      </w:pPr>
      <w:r>
        <w:rPr>
          <w:rFonts w:hint="eastAsia" w:ascii="宋体" w:hAnsi="宋体"/>
          <w:b/>
          <w:color w:val="000000"/>
          <w:sz w:val="24"/>
        </w:rPr>
        <w:t>本公司已知晓南京国际博览中心《展馆使用规则》、《布展安全管理规定》、《特装展台施工安全责任书》、《</w:t>
      </w:r>
      <w:r>
        <w:rPr>
          <w:rFonts w:hint="eastAsia"/>
          <w:b/>
          <w:sz w:val="24"/>
        </w:rPr>
        <w:t>展馆防火规定</w:t>
      </w:r>
      <w:r>
        <w:rPr>
          <w:rFonts w:hint="eastAsia" w:ascii="宋体" w:hAnsi="宋体"/>
          <w:b/>
          <w:color w:val="000000"/>
          <w:sz w:val="24"/>
        </w:rPr>
        <w:t>》等内容，并保证严格遵守。</w:t>
      </w:r>
      <w:r>
        <w:rPr>
          <w:rFonts w:ascii="宋体" w:hAnsi="宋体"/>
          <w:b/>
          <w:bCs/>
          <w:sz w:val="24"/>
        </w:rPr>
        <w:t xml:space="preserve"> </w:t>
      </w:r>
    </w:p>
    <w:p>
      <w:pPr>
        <w:spacing w:line="360" w:lineRule="auto"/>
        <w:ind w:left="359" w:leftChars="171" w:firstLine="229" w:firstLineChars="95"/>
        <w:rPr>
          <w:rFonts w:ascii="宋体"/>
          <w:sz w:val="24"/>
        </w:rPr>
      </w:pPr>
      <w:r>
        <w:rPr>
          <w:rFonts w:ascii="宋体" w:hAnsi="宋体"/>
          <w:b/>
          <w:bCs/>
          <w:sz w:val="24"/>
        </w:rPr>
        <w:t xml:space="preserve">               </w:t>
      </w:r>
    </w:p>
    <w:p>
      <w:pPr>
        <w:spacing w:line="420" w:lineRule="exact"/>
        <w:rPr>
          <w:rFonts w:ascii="宋体"/>
          <w:sz w:val="24"/>
        </w:rPr>
      </w:pP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sz w:val="24"/>
        </w:rPr>
        <w:tab/>
      </w:r>
      <w:r>
        <w:rPr>
          <w:rFonts w:ascii="宋体" w:hAnsi="宋体"/>
          <w:sz w:val="24"/>
        </w:rPr>
        <w:t xml:space="preserve">   </w:t>
      </w:r>
      <w:r>
        <w:rPr>
          <w:rFonts w:hint="eastAsia"/>
          <w:sz w:val="24"/>
        </w:rPr>
        <w:t>展览会</w:t>
      </w:r>
      <w:r>
        <w:rPr>
          <w:rFonts w:hint="eastAsia" w:ascii="宋体" w:hAnsi="宋体"/>
          <w:sz w:val="24"/>
        </w:rPr>
        <w:t>主办单位代表（签字）：</w:t>
      </w:r>
    </w:p>
    <w:p>
      <w:pPr>
        <w:spacing w:line="420" w:lineRule="exact"/>
        <w:rPr>
          <w:rFonts w:ascii="宋体"/>
          <w:sz w:val="24"/>
        </w:rPr>
      </w:pPr>
    </w:p>
    <w:p>
      <w:pPr>
        <w:spacing w:line="420" w:lineRule="exact"/>
        <w:ind w:firstLine="720" w:firstLineChars="300"/>
        <w:jc w:val="right"/>
        <w:rPr>
          <w:rFonts w:ascii="宋体"/>
          <w:b/>
          <w:color w:val="FF0000"/>
          <w:szCs w:val="21"/>
        </w:rPr>
      </w:pPr>
      <w:r>
        <w:rPr>
          <w:rFonts w:hint="eastAsia" w:ascii="宋体" w:hAnsi="宋体"/>
          <w:color w:val="000000"/>
          <w:sz w:val="24"/>
        </w:rPr>
        <w:t>本责任书自签订之日起立即生效</w:t>
      </w:r>
      <w:r>
        <w:rPr>
          <w:rFonts w:ascii="宋体" w:hAnsi="宋体"/>
          <w:color w:val="000000"/>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E3EBD"/>
    <w:multiLevelType w:val="multilevel"/>
    <w:tmpl w:val="605E3EBD"/>
    <w:lvl w:ilvl="0" w:tentative="0">
      <w:start w:val="1"/>
      <w:numFmt w:val="japaneseCounting"/>
      <w:lvlText w:val="%1、"/>
      <w:lvlJc w:val="left"/>
      <w:pPr>
        <w:tabs>
          <w:tab w:val="left" w:pos="900"/>
        </w:tabs>
        <w:ind w:left="900" w:hanging="360"/>
      </w:pPr>
      <w:rPr>
        <w:rFonts w:hint="eastAsia" w:cs="Times New Roman"/>
      </w:rPr>
    </w:lvl>
    <w:lvl w:ilvl="1" w:tentative="0">
      <w:start w:val="1"/>
      <w:numFmt w:val="lowerLetter"/>
      <w:lvlText w:val="%2)"/>
      <w:lvlJc w:val="left"/>
      <w:pPr>
        <w:tabs>
          <w:tab w:val="left" w:pos="838"/>
        </w:tabs>
        <w:ind w:left="838" w:hanging="420"/>
      </w:pPr>
      <w:rPr>
        <w:rFonts w:cs="Times New Roman"/>
      </w:rPr>
    </w:lvl>
    <w:lvl w:ilvl="2" w:tentative="0">
      <w:start w:val="1"/>
      <w:numFmt w:val="lowerRoman"/>
      <w:lvlText w:val="%3."/>
      <w:lvlJc w:val="right"/>
      <w:pPr>
        <w:tabs>
          <w:tab w:val="left" w:pos="1258"/>
        </w:tabs>
        <w:ind w:left="1258" w:hanging="420"/>
      </w:pPr>
      <w:rPr>
        <w:rFonts w:cs="Times New Roman"/>
      </w:rPr>
    </w:lvl>
    <w:lvl w:ilvl="3" w:tentative="0">
      <w:start w:val="1"/>
      <w:numFmt w:val="decimal"/>
      <w:lvlText w:val="%4."/>
      <w:lvlJc w:val="left"/>
      <w:pPr>
        <w:tabs>
          <w:tab w:val="left" w:pos="1678"/>
        </w:tabs>
        <w:ind w:left="1678" w:hanging="420"/>
      </w:pPr>
      <w:rPr>
        <w:rFonts w:cs="Times New Roman"/>
      </w:rPr>
    </w:lvl>
    <w:lvl w:ilvl="4" w:tentative="0">
      <w:start w:val="1"/>
      <w:numFmt w:val="lowerLetter"/>
      <w:lvlText w:val="%5)"/>
      <w:lvlJc w:val="left"/>
      <w:pPr>
        <w:tabs>
          <w:tab w:val="left" w:pos="2098"/>
        </w:tabs>
        <w:ind w:left="2098" w:hanging="420"/>
      </w:pPr>
      <w:rPr>
        <w:rFonts w:cs="Times New Roman"/>
      </w:rPr>
    </w:lvl>
    <w:lvl w:ilvl="5" w:tentative="0">
      <w:start w:val="1"/>
      <w:numFmt w:val="lowerRoman"/>
      <w:lvlText w:val="%6."/>
      <w:lvlJc w:val="right"/>
      <w:pPr>
        <w:tabs>
          <w:tab w:val="left" w:pos="2518"/>
        </w:tabs>
        <w:ind w:left="2518" w:hanging="420"/>
      </w:pPr>
      <w:rPr>
        <w:rFonts w:cs="Times New Roman"/>
      </w:rPr>
    </w:lvl>
    <w:lvl w:ilvl="6" w:tentative="0">
      <w:start w:val="1"/>
      <w:numFmt w:val="decimal"/>
      <w:lvlText w:val="%7."/>
      <w:lvlJc w:val="left"/>
      <w:pPr>
        <w:tabs>
          <w:tab w:val="left" w:pos="2938"/>
        </w:tabs>
        <w:ind w:left="2938" w:hanging="420"/>
      </w:pPr>
      <w:rPr>
        <w:rFonts w:cs="Times New Roman"/>
      </w:rPr>
    </w:lvl>
    <w:lvl w:ilvl="7" w:tentative="0">
      <w:start w:val="1"/>
      <w:numFmt w:val="lowerLetter"/>
      <w:lvlText w:val="%8)"/>
      <w:lvlJc w:val="left"/>
      <w:pPr>
        <w:tabs>
          <w:tab w:val="left" w:pos="3358"/>
        </w:tabs>
        <w:ind w:left="3358" w:hanging="420"/>
      </w:pPr>
      <w:rPr>
        <w:rFonts w:cs="Times New Roman"/>
      </w:rPr>
    </w:lvl>
    <w:lvl w:ilvl="8" w:tentative="0">
      <w:start w:val="1"/>
      <w:numFmt w:val="lowerRoman"/>
      <w:lvlText w:val="%9."/>
      <w:lvlJc w:val="right"/>
      <w:pPr>
        <w:tabs>
          <w:tab w:val="left" w:pos="3778"/>
        </w:tabs>
        <w:ind w:left="377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2641A"/>
    <w:rsid w:val="6AA2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Normal (Web)"/>
    <w:basedOn w:val="1"/>
    <w:qFormat/>
    <w:uiPriority w:val="99"/>
    <w:pPr>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2020-04-20T14:17:00Z</dcterms:created>
  <dc:creator>搂猫睡觉的鱼</dc:creator>
  <cp:lastModifiedBy>搂猫睡觉的鱼</cp:lastModifiedBy>
  <dcterms:modified xsi:type="dcterms:W3CDTF">2020-04-20T14:18:11Z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